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Нейрохирургия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Нейрохирургия | Записей: 1 | Кейс: 1 | Вопросов: 12</w:t>
      </w:r>
    </w:p>
    <w:p>
      <w:r>
        <w:br w:type="page"/>
      </w:r>
    </w:p>
    <w:p>
      <w:pPr>
        <w:pStyle w:val="Heading1"/>
      </w:pPr>
      <w:r>
        <w:t>Нейрохирургия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56 лет обратился к неврологу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Головные боли, головокружение, тошнота, рвота, нарушение памяти, шаткость при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начале месяца супруга пациента отметила изменение в поведении больного (снижение эмоций, апатию, забывчивость). Самостоятельно выполнили МРТ головного мозга без контраста – снимки не предоставлены. В динамике, к вышеуказанной симптоматике присоединилась тошнота, однократный эпизод рвоты, нарушение походки в виде шаткости.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Женат, работает начальником склада. Особо опасные инфекции отрицательные. Нарушение толерантности к глюкозе. Гипертоническая болезнь 2 ст., риск 3. Аллергии на медикаментозные препараты нет. Операций не производилось. Переливания крови и её компонентов не проводилось.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Соматически пациент стабилен. Кожа и видимые слизистые чистые, без видимой патологии. Периферические лимфатические узлы не увеличены, безболезненные. Дыхание везикулярное, хрипов нет, ЧДД = 17 в мин. Тоны сердца ясные, ритмичные. АД - 135/85 мм рт. ст. Пульс - 81 в мин, удовлетворительных качеств. Живот мягкий, безболезненный при поверхностной и глубокой пальпации. Селезёнка не пальпируется. Стул оформленный, без патологических примесей. Мочеиспускание свободное, в памперс.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 черепа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головного мозга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контрастным усилением</w:t>
      </w:r>
    </w:p>
    <w:p>
      <w:pPr>
        <w:ind w:left="504"/>
      </w:pPr>
      <w:r>
        <w:rPr>
          <w:b w:val="0"/>
          <w:i/>
        </w:rPr>
        <w:t>Современные возможности МРТ позволяют с высокой степенью достоверности проводить как дифференциальную диагностику с иными заболеваниями, так и уточнять природу первичной опухоли ЦНС.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МРТ головного мозга с контрастным усилением</w:t>
      </w:r>
    </w:p>
    <w:p>
      <w:r>
        <w:drawing>
          <wp:inline xmlns:a="http://schemas.openxmlformats.org/drawingml/2006/main" xmlns:pic="http://schemas.openxmlformats.org/drawingml/2006/picture">
            <wp:extent cx="5303520" cy="12993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9f72e6f12bae8a704b97d3db162e2db2ba93e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993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МРТ головного мозга с контрастным усилением</w:t>
      </w:r>
    </w:p>
    <w:p>
      <w:pPr>
        <w:spacing w:after="58"/>
      </w:pPr>
      <w:r>
        <w:rPr>
          <w:b w:val="0"/>
          <w:i w:val="0"/>
        </w:rPr>
        <w:t>По данным МРТ ГМ в режиме FLAIR определяется гиперинтенсивный сигнал в колене мозолистого тела. По данным МРТ в режиме Т1 с в\в контрастированием определяется интенсивное накопление контрастного вещества в передних отделах мозолистого тела.</w:t>
      </w:r>
    </w:p>
    <w:p>
      <w:pPr>
        <w:pStyle w:val="Heading3"/>
      </w:pPr>
      <w:r>
        <w:t>3.4. Рентгенография черепа</w:t>
      </w:r>
    </w:p>
    <w:p>
      <w:pPr>
        <w:spacing w:after="58"/>
      </w:pPr>
      <w:r>
        <w:rPr>
          <w:b w:val="0"/>
          <w:i w:val="0"/>
        </w:rPr>
        <w:t>На рентгенограмме черепа, выполненной в носо-подбородочной проекции, костно-деструктивных изменений не выявлено. Определяется нормальное развитие всех групп пазух. Снижение пневматизации околоносовых пазух не отмечено. Перегородка носа не искривлена.</w:t>
      </w:r>
    </w:p>
    <w:p>
      <w:pPr>
        <w:spacing w:after="58"/>
      </w:pPr>
      <w:r>
        <w:rPr>
          <w:b w:val="0"/>
          <w:i w:val="0"/>
        </w:rPr>
        <w:t>*Заключение:* Костно-деструктивных изменений не выявлено.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дополнительным инструментальным методом обследования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костей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МР-трактография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дуплексное сканирование глубоких и поверхностных вен нижних конечностей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МР-трактография головного мозга</w:t>
      </w:r>
    </w:p>
    <w:p>
      <w:pPr>
        <w:ind w:left="504"/>
      </w:pPr>
      <w:r>
        <w:rPr>
          <w:b w:val="0"/>
          <w:i/>
        </w:rPr>
        <w:t>В дополнение к данным стандартным методикам обследования могут быть выполнены компьютерная томография (КТ) без и с контрастным усилением, КТ-ангиография и/или МР-ангиография, МР-трактография, функциональная МРТ с определением двигательных зон и/или речевых корковых центров, КТ-перфузию и/или МР-перфузию.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инструментального метода обследования</w:t>
      </w:r>
    </w:p>
    <w:p>
      <w:pPr>
        <w:pStyle w:val="Heading3"/>
      </w:pPr>
      <w:r>
        <w:t>5.1. МР-трактография головного мозга</w:t>
      </w:r>
    </w:p>
    <w:p>
      <w:r>
        <w:drawing>
          <wp:inline xmlns:a="http://schemas.openxmlformats.org/drawingml/2006/main" xmlns:pic="http://schemas.openxmlformats.org/drawingml/2006/picture">
            <wp:extent cx="5303520" cy="1531391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52fd00d22689c56dff316560ccfca30b635c55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53139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МР-трактография головного мозга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Предполагаемый основной диагноз у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Внутримозговая опухоль колена, передних отделов тела мозолистого тела и лобных долей с двух сторон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Внутримозговая опухоль правой лобной доли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Внутримозговая опухоль зрительного бугра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Менингит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Внутримозговая опухоль колена, передних отделов тела мозолистого тела и лобных долей с двух сторон</w:t>
      </w:r>
    </w:p>
    <w:p>
      <w:pPr>
        <w:ind w:left="504"/>
      </w:pPr>
      <w:r>
        <w:rPr>
          <w:b w:val="0"/>
          <w:i/>
        </w:rPr>
        <w:t>Диагноз поставлен на основании данных клинической картины заболевания, результатов МРТ головного мозга (изменение сигнала в области колена мозолистого тела), результатов МР – трактографии.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Внутримозговая опухоль колена, передних отделов тела мозолистого тела и лобных долей с двух сторон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рекомендована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психиатра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гастроэнтеролога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нейрохирурга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нейрохирурга</w:t>
      </w:r>
    </w:p>
    <w:p>
      <w:pPr>
        <w:ind w:left="504"/>
      </w:pPr>
      <w:r>
        <w:rPr>
          <w:b w:val="0"/>
          <w:i/>
        </w:rPr>
        <w:t>Рекомендована консультация врача-нейрохирурга (в специализированном, хорошо оснащенном нейрохирургическом центре или отделении, с опытом лечения нейроонкологических пациентов) 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Первым этапом лечения у данного пациента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выполнение радиотерапии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химиотерапии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микрохирургическое удаление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комбинированное адъювантное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микрохирургическое удаление опухоли</w:t>
      </w:r>
    </w:p>
    <w:p>
      <w:pPr>
        <w:ind w:left="504"/>
      </w:pPr>
      <w:r>
        <w:rPr>
          <w:b w:val="0"/>
          <w:i/>
        </w:rPr>
        <w:t>Первым этапом лечения при подозрении на внутримозговую глиальную опухоль является микрохирургическое удаление.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невозможности проведения пациенту МРТ головного мозга, из инструментальных методов исследования рекомендовано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компьютерной томограммы головного мозга с контрастным усилением и без него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электроэнцефалография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сонографии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томограммы головного мозга с контрастным усилением и без него</w:t>
      </w:r>
    </w:p>
    <w:p>
      <w:pPr>
        <w:ind w:left="504"/>
      </w:pPr>
      <w:r>
        <w:rPr>
          <w:b w:val="0"/>
          <w:i/>
        </w:rPr>
        <w:t>В случаях, когда МРТ не может быть выполнена (например, при наличии кардиостимуляторов или ферромагнитных имплантов) рекомендовано проведение КТ с контрастным усилением и без него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оценки признаков внутричерепной гипертензии у пациентов с опухолями головного мозга необходима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психиатра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фтизиатра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офтальмолога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сосудистого 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офтальмолога</w:t>
      </w:r>
    </w:p>
    <w:p>
      <w:pPr>
        <w:ind w:left="504"/>
      </w:pPr>
      <w:r>
        <w:rPr>
          <w:b w:val="0"/>
          <w:i/>
        </w:rPr>
        <w:t>Рекомендован осмотр врачом-офтальмологом на предмет глазодвигательных, зрительных нарушений, а также для оценки признаков внутричерепной гипертензии на глазном дне.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послеоперационном периоде после удаления опухоли головного мозга рекомендовано выполнение КТ с контрастированием и без него и/или МРТ с контрастным усилением и без него в течение +________+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24-72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72-96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96-120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120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24-72</w:t>
      </w:r>
    </w:p>
    <w:p>
      <w:pPr>
        <w:ind w:left="504"/>
      </w:pPr>
      <w:r>
        <w:rPr>
          <w:b w:val="0"/>
          <w:i/>
        </w:rPr>
        <w:t>В послеоперационном периоде после удаления опухоли рекомендовано выполнение КТ с контрастированием и без него и/или МРТ с контрастным усилением и без него в течение 24–72 часов.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послеоперационного течении заболевания рекомендовано проведение лучевой терапии при злокачественных новообразованиях головного мозга в сроки до +________+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При лечении злокачественных опухолей (Grade III–IV), ЛТ рекомендовано начинать в сроки до 6 недель после операции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Показания и схемы лечения противоопухолевой лекарственной терапии у пациентов с опухолями головного мозга определяются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неврологического статуса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гистологического диагноза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индекса Карновского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радикальности удаления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гистологического диагноза</w:t>
      </w:r>
    </w:p>
    <w:p>
      <w:pPr>
        <w:ind w:left="504"/>
      </w:pPr>
      <w:r>
        <w:rPr>
          <w:b w:val="0"/>
          <w:i/>
        </w:rPr>
        <w:t>Показания и выбор схемы противоопухолевой лекарственной терапии зависят от гистологического диагноза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целях предоперационной подготовки, для снижения риска периоперационного кровотечения показана отмена лекарств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гипотензивных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НПВП за 5–7 суток до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гепатопротекторов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антиаритмических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НПВП за 5–7 суток до операции</w:t>
      </w:r>
    </w:p>
    <w:p>
      <w:pPr>
        <w:ind w:left="504"/>
      </w:pPr>
      <w:r>
        <w:rPr>
          <w:b w:val="0"/>
          <w:i/>
        </w:rPr>
        <w:t>Рекомендуется отмена НПВП за 5–7 суток до операции для снижения риска периоперационного кровотечения или же контроль гемостаза с использованием тромбоэластограммы.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оперативного вмешательства рекомендовано восстановления приёма низкомолекулярных гепаринов при постоянном использовании пациентом антикоагулянтов/антиагрегантов в сроки до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1-2 суток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более 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более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3-6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суток</w:t>
      </w:r>
    </w:p>
    <w:p>
      <w:pPr>
        <w:ind w:left="504"/>
      </w:pPr>
      <w:r>
        <w:rPr>
          <w:b w:val="0"/>
          <w:i/>
        </w:rPr>
        <w:t>При постоянном использовании пациентами антикоагулянтов/антиагрегантов (варфарин, клопидогрел, ацетилсалициловая кислота, фениндион, аценокумарол и т.п.) рекомендовано переведение на низкомолекулярные гепарины (например, под контролем тромбоэластограммы перед операцией) не менее чем за 7 суток до операции с последующей отменой гепаринов за 12–24 часа до операции и восстановлением через одни – двое суток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853/" TargetMode="External"/><Relationship Id="rId10" Type="http://schemas.openxmlformats.org/officeDocument/2006/relationships/hyperlink" Target="https://library.mededtech.ru/rest/documents/cr_853/#list_item_45av4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cr_853/#paragraph_6p4bp" TargetMode="External"/><Relationship Id="rId13" Type="http://schemas.openxmlformats.org/officeDocument/2006/relationships/image" Target="media/image2.jpg"/><Relationship Id="rId14" Type="http://schemas.openxmlformats.org/officeDocument/2006/relationships/hyperlink" Target="https://library.mededtech.ru/rest/documents/cr_853/#paragraph_p0dl0" TargetMode="External"/><Relationship Id="rId15" Type="http://schemas.openxmlformats.org/officeDocument/2006/relationships/hyperlink" Target="https://library.mededtech.ru/rest/documents/cr_853/#list_item_3vcav" TargetMode="External"/><Relationship Id="rId16" Type="http://schemas.openxmlformats.org/officeDocument/2006/relationships/hyperlink" Target="https://library.mededtech.ru/rest/documents/cr_853/#paragraph_6dj7v" TargetMode="External"/><Relationship Id="rId17" Type="http://schemas.openxmlformats.org/officeDocument/2006/relationships/hyperlink" Target="https://library.mededtech.ru/rest/documents/cr_853/#paragraph_k8p6k" TargetMode="External"/><Relationship Id="rId18" Type="http://schemas.openxmlformats.org/officeDocument/2006/relationships/hyperlink" Target="https://library.mededtech.ru/rest/documents/cr_853/#list_item_01o2g" TargetMode="External"/><Relationship Id="rId19" Type="http://schemas.openxmlformats.org/officeDocument/2006/relationships/hyperlink" Target="https://library.mededtech.ru/rest/documents/cr_853/#list_item_rk3i0" TargetMode="External"/><Relationship Id="rId20" Type="http://schemas.openxmlformats.org/officeDocument/2006/relationships/hyperlink" Target="https://library.mededtech.ru/rest/documents/cr_853/#list_item_9aum9" TargetMode="External"/><Relationship Id="rId21" Type="http://schemas.openxmlformats.org/officeDocument/2006/relationships/hyperlink" Target="https://library.mededtech.ru/rest/documents/cr_853/#list_item_r8aba" TargetMode="External"/><Relationship Id="rId22" Type="http://schemas.openxmlformats.org/officeDocument/2006/relationships/hyperlink" Target="https://library.mededtech.ru/rest/documents/cr_853/#paragraph_iprc3" TargetMode="External"/><Relationship Id="rId23" Type="http://schemas.openxmlformats.org/officeDocument/2006/relationships/hyperlink" Target="https://library.mededtech.ru/rest/documents/cr_853/#list_item_5r5gv" TargetMode="External"/><Relationship Id="rId24" Type="http://schemas.openxmlformats.org/officeDocument/2006/relationships/hyperlink" Target="https://library.mededtech.ru/rest/documents/cr_853/#list_item_5a61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